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1180828"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465587">
        <w:rPr>
          <w:bCs/>
          <w:noProof w:val="0"/>
          <w:sz w:val="24"/>
          <w:szCs w:val="24"/>
        </w:rPr>
        <w:t>9</w:t>
      </w:r>
      <w:r w:rsidR="00F62F5F">
        <w:rPr>
          <w:bCs/>
          <w:noProof w:val="0"/>
          <w:sz w:val="24"/>
          <w:szCs w:val="24"/>
        </w:rPr>
        <w:t>01255</w:t>
      </w:r>
    </w:p>
    <w:p w14:paraId="231362B2" w14:textId="08A77F40"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D279AD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F3D8D">
        <w:rPr>
          <w:rFonts w:cs="Arial"/>
          <w:b/>
          <w:bCs/>
          <w:sz w:val="24"/>
          <w:lang w:eastAsia="ja-JP"/>
        </w:rPr>
        <w:t>10.3.1.3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CBC609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F3D8D">
        <w:rPr>
          <w:rFonts w:ascii="Arial" w:hAnsi="Arial" w:cs="Arial"/>
          <w:b/>
          <w:bCs/>
          <w:sz w:val="24"/>
        </w:rPr>
        <w:t xml:space="preserve">Discussion on </w:t>
      </w:r>
      <w:r w:rsidR="00CB36BD">
        <w:rPr>
          <w:rFonts w:ascii="Arial" w:hAnsi="Arial" w:cs="Arial"/>
          <w:b/>
          <w:bCs/>
          <w:sz w:val="24"/>
        </w:rPr>
        <w:t>BFR with CBRA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5AC5FE3" w:rsidR="00CD4C7B" w:rsidRPr="006E13D1" w:rsidRDefault="000F00E3" w:rsidP="00CD4C7B">
      <w:r>
        <w:t xml:space="preserve">This contribution discusses the issue </w:t>
      </w:r>
      <w:r w:rsidR="00A016A1">
        <w:t>with CBRA as it may be used both for the BFR and other RA procedures without NW knowing the actual cause.</w:t>
      </w:r>
    </w:p>
    <w:p w14:paraId="127ACA6D" w14:textId="6E0E643D" w:rsidR="00CD4C7B" w:rsidRDefault="00CD4C7B" w:rsidP="00CD4C7B">
      <w:pPr>
        <w:pStyle w:val="Heading1"/>
      </w:pPr>
      <w:r w:rsidRPr="006E13D1">
        <w:t>2</w:t>
      </w:r>
      <w:r w:rsidRPr="006E13D1">
        <w:tab/>
      </w:r>
      <w:r w:rsidR="00A016A1">
        <w:t>Discussion</w:t>
      </w:r>
    </w:p>
    <w:p w14:paraId="0CB9066C" w14:textId="02AE1E3B" w:rsidR="006A7A82" w:rsidRDefault="006A7A82" w:rsidP="006A7A82">
      <w:pPr>
        <w:pStyle w:val="Heading2"/>
      </w:pPr>
      <w:r>
        <w:t>2.1</w:t>
      </w:r>
      <w:r>
        <w:tab/>
        <w:t>CFRA BFR</w:t>
      </w:r>
    </w:p>
    <w:p w14:paraId="6CCA6106" w14:textId="149644C9" w:rsidR="006A7A82" w:rsidRDefault="00A6603F" w:rsidP="006A7A82">
      <w:r>
        <w:t xml:space="preserve">For </w:t>
      </w:r>
      <w:r w:rsidR="006A7A82">
        <w:t xml:space="preserve">BFR (Beam Failure Recovery) with CFRA (Contention Free Random Access) </w:t>
      </w:r>
      <w:r w:rsidR="00014714">
        <w:t>the UE operation is as follows (</w:t>
      </w:r>
      <w:hyperlink r:id="rId12" w:history="1">
        <w:r w:rsidR="00014714" w:rsidRPr="005C0D44">
          <w:rPr>
            <w:rStyle w:val="Hyperlink"/>
          </w:rPr>
          <w:t>TS 38.213</w:t>
        </w:r>
      </w:hyperlink>
      <w:r w:rsidR="00014714">
        <w:t>):</w:t>
      </w:r>
    </w:p>
    <w:tbl>
      <w:tblPr>
        <w:tblStyle w:val="TableGrid"/>
        <w:tblW w:w="0" w:type="auto"/>
        <w:tblLook w:val="04A0" w:firstRow="1" w:lastRow="0" w:firstColumn="1" w:lastColumn="0" w:noHBand="0" w:noVBand="1"/>
      </w:tblPr>
      <w:tblGrid>
        <w:gridCol w:w="9631"/>
      </w:tblGrid>
      <w:tr w:rsidR="00014714" w14:paraId="542CED92" w14:textId="77777777" w:rsidTr="00014714">
        <w:tc>
          <w:tcPr>
            <w:tcW w:w="9631" w:type="dxa"/>
            <w:shd w:val="clear" w:color="auto" w:fill="F2F2F2" w:themeFill="background1" w:themeFillShade="F2"/>
          </w:tcPr>
          <w:p w14:paraId="0F1FBA26" w14:textId="77777777" w:rsidR="00750A34" w:rsidRPr="00750A34" w:rsidRDefault="00750A34" w:rsidP="00750A34">
            <w:pPr>
              <w:keepNext/>
              <w:keepLines/>
              <w:tabs>
                <w:tab w:val="left" w:pos="1134"/>
              </w:tabs>
              <w:spacing w:before="240"/>
              <w:ind w:left="1134" w:hanging="1134"/>
              <w:outlineLvl w:val="0"/>
              <w:rPr>
                <w:rFonts w:ascii="Arial" w:hAnsi="Arial" w:cs="Arial"/>
                <w:sz w:val="36"/>
                <w:szCs w:val="32"/>
              </w:rPr>
            </w:pPr>
            <w:bookmarkStart w:id="0" w:name="_Ref500595654"/>
            <w:bookmarkStart w:id="1" w:name="_Toc535263162"/>
            <w:r w:rsidRPr="00750A34">
              <w:rPr>
                <w:rFonts w:ascii="Arial" w:hAnsi="Arial" w:cs="Arial"/>
                <w:sz w:val="36"/>
                <w:szCs w:val="32"/>
              </w:rPr>
              <w:t>6</w:t>
            </w:r>
            <w:r w:rsidRPr="00750A34">
              <w:rPr>
                <w:rFonts w:ascii="Arial" w:hAnsi="Arial" w:cs="Arial"/>
                <w:sz w:val="36"/>
                <w:szCs w:val="32"/>
              </w:rPr>
              <w:tab/>
              <w:t>Link recovery procedures</w:t>
            </w:r>
            <w:bookmarkEnd w:id="0"/>
            <w:bookmarkEnd w:id="1"/>
          </w:p>
          <w:p w14:paraId="128D5CC7" w14:textId="16251A84" w:rsidR="00014714" w:rsidRPr="00750A34" w:rsidRDefault="00750A34" w:rsidP="006A7A82">
            <w:pPr>
              <w:rPr>
                <w:i/>
                <w:iCs/>
              </w:rPr>
            </w:pPr>
            <w:r w:rsidRPr="00750A34">
              <w:t xml:space="preserve">The UE may receive by </w:t>
            </w:r>
            <w:r w:rsidRPr="00750A34">
              <w:rPr>
                <w:i/>
              </w:rPr>
              <w:t>PRACH-ResourceDedicatedBFR</w:t>
            </w:r>
            <w:r w:rsidRPr="00750A34">
              <w:t xml:space="preserve">, a </w:t>
            </w:r>
            <w:r w:rsidRPr="00750A34">
              <w:rPr>
                <w:lang w:val="en-US"/>
              </w:rPr>
              <w:t xml:space="preserve">configuration for PRACH transmission as described in Subclause 8.1. For PRACH transmission in slot </w:t>
            </w:r>
            <w:r w:rsidRPr="00750A34">
              <w:rPr>
                <w:position w:val="-6"/>
              </w:rPr>
              <w:object w:dxaOrig="180" w:dyaOrig="200" w14:anchorId="41ECA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1.5pt" o:ole="">
                  <v:imagedata r:id="rId13" o:title=""/>
                </v:shape>
                <o:OLEObject Type="Embed" ProgID="Equation.3" ShapeID="_x0000_i1025" DrawAspect="Content" ObjectID="_1611672190" r:id="rId14"/>
              </w:object>
            </w:r>
            <w:r w:rsidRPr="00750A34">
              <w:rPr>
                <w:iCs/>
              </w:rPr>
              <w:t xml:space="preserve"> </w:t>
            </w:r>
            <w:r w:rsidRPr="00750A34">
              <w:rPr>
                <w:lang w:val="en-US"/>
              </w:rPr>
              <w:t xml:space="preserve">and according to </w:t>
            </w:r>
            <w:r w:rsidRPr="00750A34">
              <w:t xml:space="preserve">antenna port quasi co-location parameters associated with periodic CSI-RS resource configuration or with SS/PBCH block associated with index </w:t>
            </w:r>
            <w:r w:rsidRPr="00750A34">
              <w:rPr>
                <w:iCs/>
                <w:position w:val="-10"/>
              </w:rPr>
              <w:object w:dxaOrig="380" w:dyaOrig="300" w14:anchorId="2EA349D4">
                <v:shape id="_x0000_i1026" type="#_x0000_t75" style="width:22pt;height:17.5pt" o:ole="">
                  <v:imagedata r:id="rId15" o:title=""/>
                </v:shape>
                <o:OLEObject Type="Embed" ProgID="Equation.3" ShapeID="_x0000_i1026" DrawAspect="Content" ObjectID="_1611672191" r:id="rId16"/>
              </w:object>
            </w:r>
            <w:r w:rsidRPr="00750A34">
              <w:rPr>
                <w:iCs/>
              </w:rPr>
              <w:t xml:space="preserve"> provided by higher layers </w:t>
            </w:r>
            <w:r w:rsidRPr="00750A34">
              <w:t>[11, TS 38.321]</w:t>
            </w:r>
            <w:r w:rsidRPr="00750A34">
              <w:rPr>
                <w:lang w:val="en-US"/>
              </w:rPr>
              <w:t xml:space="preserve">, the UE monitors PDCCH in a search space set provided by </w:t>
            </w:r>
            <w:r w:rsidRPr="00750A34">
              <w:rPr>
                <w:i/>
                <w:iCs/>
              </w:rPr>
              <w:t>recoverySearchSpaceId</w:t>
            </w:r>
            <w:r w:rsidRPr="00750A34">
              <w:rPr>
                <w:lang w:val="en-US"/>
              </w:rPr>
              <w:t xml:space="preserve"> for detection of a DCI format with CRC scrambled by C-RNTI or MCS-C-RNTI starting from slot </w:t>
            </w:r>
            <w:r w:rsidRPr="00750A34">
              <w:rPr>
                <w:position w:val="-6"/>
              </w:rPr>
              <w:object w:dxaOrig="460" w:dyaOrig="240" w14:anchorId="4954153E">
                <v:shape id="_x0000_i1027" type="#_x0000_t75" style="width:23.5pt;height:13pt" o:ole="">
                  <v:imagedata r:id="rId17" o:title=""/>
                </v:shape>
                <o:OLEObject Type="Embed" ProgID="Equation.3" ShapeID="_x0000_i1027" DrawAspect="Content" ObjectID="_1611672192" r:id="rId18"/>
              </w:object>
            </w:r>
            <w:r w:rsidRPr="00750A34">
              <w:rPr>
                <w:iCs/>
              </w:rPr>
              <w:t xml:space="preserve"> </w:t>
            </w:r>
            <w:r w:rsidRPr="00750A34">
              <w:rPr>
                <w:noProof/>
              </w:rPr>
              <w:t xml:space="preserve">within a window </w:t>
            </w:r>
            <w:r w:rsidRPr="00750A34">
              <w:rPr>
                <w:lang w:val="en-US"/>
              </w:rPr>
              <w:t xml:space="preserve">configured by </w:t>
            </w:r>
            <w:r w:rsidRPr="00750A34">
              <w:rPr>
                <w:i/>
                <w:iCs/>
              </w:rPr>
              <w:t>BeamFailureRecoveryConfig</w:t>
            </w:r>
            <w:r w:rsidRPr="00750A34">
              <w:rPr>
                <w:iCs/>
              </w:rPr>
              <w:t xml:space="preserve">. </w:t>
            </w:r>
            <w:r w:rsidRPr="00750A34">
              <w:rPr>
                <w:iCs/>
                <w:highlight w:val="yellow"/>
              </w:rPr>
              <w:t xml:space="preserve">For PDCCH monitoring </w:t>
            </w:r>
            <w:r w:rsidRPr="00750A34">
              <w:rPr>
                <w:highlight w:val="yellow"/>
              </w:rPr>
              <w:t xml:space="preserve">in a search space set provided by </w:t>
            </w:r>
            <w:r w:rsidRPr="00750A34">
              <w:rPr>
                <w:i/>
                <w:highlight w:val="yellow"/>
              </w:rPr>
              <w:t>recoverySearchSpaceId</w:t>
            </w:r>
            <w:r w:rsidRPr="00750A34">
              <w:rPr>
                <w:highlight w:val="yellow"/>
              </w:rPr>
              <w:t xml:space="preserve"> </w:t>
            </w:r>
            <w:r w:rsidRPr="00750A34">
              <w:rPr>
                <w:iCs/>
                <w:highlight w:val="yellow"/>
              </w:rPr>
              <w:t xml:space="preserve">and for corresponding PDSCH reception, the UE assumes the same antenna port quasi-collocation parameters as the ones associated with </w:t>
            </w:r>
            <w:r w:rsidRPr="00750A34">
              <w:rPr>
                <w:highlight w:val="yellow"/>
              </w:rPr>
              <w:t xml:space="preserve">index </w:t>
            </w:r>
            <w:r w:rsidRPr="00750A34">
              <w:rPr>
                <w:iCs/>
                <w:position w:val="-10"/>
                <w:highlight w:val="yellow"/>
              </w:rPr>
              <w:object w:dxaOrig="380" w:dyaOrig="300" w14:anchorId="39BFD373">
                <v:shape id="_x0000_i1028" type="#_x0000_t75" style="width:22pt;height:17.5pt" o:ole="">
                  <v:imagedata r:id="rId15" o:title=""/>
                </v:shape>
                <o:OLEObject Type="Embed" ProgID="Equation.3" ShapeID="_x0000_i1028" DrawAspect="Content" ObjectID="_1611672193" r:id="rId19"/>
              </w:object>
            </w:r>
            <w:r w:rsidRPr="00750A34">
              <w:rPr>
                <w:iCs/>
                <w:highlight w:val="yellow"/>
              </w:rPr>
              <w:t xml:space="preserve"> until the UE receives by higher layers an activation for a TCI state or any of the parameters </w:t>
            </w:r>
            <w:r w:rsidRPr="00750A34">
              <w:rPr>
                <w:i/>
                <w:iCs/>
                <w:highlight w:val="yellow"/>
              </w:rPr>
              <w:t xml:space="preserve">TCI-StatesPDCCH-ToAddlist </w:t>
            </w:r>
            <w:r w:rsidRPr="00750A34">
              <w:rPr>
                <w:iCs/>
                <w:highlight w:val="yellow"/>
              </w:rPr>
              <w:t>and/or</w:t>
            </w:r>
            <w:r w:rsidRPr="00750A34">
              <w:rPr>
                <w:i/>
                <w:iCs/>
                <w:highlight w:val="yellow"/>
              </w:rPr>
              <w:t xml:space="preserve"> TCI-StatesPDCCH-ToReleaseList</w:t>
            </w:r>
            <w:r w:rsidRPr="00750A34">
              <w:rPr>
                <w:iCs/>
                <w:highlight w:val="yellow"/>
              </w:rPr>
              <w:t>.</w:t>
            </w:r>
            <w:r w:rsidRPr="00750A34">
              <w:rPr>
                <w:iCs/>
              </w:rPr>
              <w:t xml:space="preserve"> </w:t>
            </w:r>
            <w:r w:rsidRPr="00750A34">
              <w:t xml:space="preserve">After the UE detects a DCI format with CRC scrambled by C-RNTI or MCS-C-RNTI in the search space set provided by </w:t>
            </w:r>
            <w:r w:rsidRPr="00750A34">
              <w:rPr>
                <w:i/>
                <w:iCs/>
              </w:rPr>
              <w:t>recoverySearchSpaceId</w:t>
            </w:r>
            <w:r w:rsidRPr="00750A34">
              <w:t xml:space="preserve">, the UE continues to monitor PDCCH candidates in the search space set provided by </w:t>
            </w:r>
            <w:r w:rsidRPr="00750A34">
              <w:rPr>
                <w:i/>
                <w:iCs/>
              </w:rPr>
              <w:t>recoverySearchSpaceId</w:t>
            </w:r>
            <w:r w:rsidRPr="00750A34">
              <w:t xml:space="preserve"> until the UE receives a MAC CE activation command for a TCI state or </w:t>
            </w:r>
            <w:r w:rsidRPr="00750A34">
              <w:rPr>
                <w:i/>
                <w:iCs/>
              </w:rPr>
              <w:t xml:space="preserve">TCI-StatesPDCCH-ToAddlist </w:t>
            </w:r>
            <w:r w:rsidRPr="00750A34">
              <w:rPr>
                <w:iCs/>
              </w:rPr>
              <w:t>and/or</w:t>
            </w:r>
            <w:r w:rsidRPr="00750A34">
              <w:rPr>
                <w:i/>
                <w:iCs/>
              </w:rPr>
              <w:t xml:space="preserve"> TCI-StatesPDCCH-ToReleaseList.</w:t>
            </w:r>
          </w:p>
        </w:tc>
      </w:tr>
    </w:tbl>
    <w:p w14:paraId="18584E12" w14:textId="2876FB5E" w:rsidR="00014714" w:rsidRDefault="00014714" w:rsidP="006A7A82"/>
    <w:p w14:paraId="77960E93" w14:textId="28F22A35" w:rsidR="00750A34" w:rsidRDefault="00750A34" w:rsidP="006A7A82">
      <w:r>
        <w:t xml:space="preserve">In other words, UE </w:t>
      </w:r>
      <w:r w:rsidR="003A249E">
        <w:t xml:space="preserve">assumes the beam it indicates by the CFRA preamble for the PDCCH reception until it receives an activation for a TCI state or RRC reconfigures the TCI state </w:t>
      </w:r>
      <w:r w:rsidR="00372041">
        <w:t>configuration.</w:t>
      </w:r>
    </w:p>
    <w:p w14:paraId="6D4A0EAA" w14:textId="204AACDF" w:rsidR="00372041" w:rsidRDefault="00372041" w:rsidP="006A7A82">
      <w:r>
        <w:rPr>
          <w:b/>
        </w:rPr>
        <w:t xml:space="preserve">Observation 1: </w:t>
      </w:r>
      <w:r>
        <w:t>UE assumes the beam it indicates by the CFRA preamble for the PDCCH reception until it receives an activation for a TCI state or RRC reconfigures the TCI state configuration.</w:t>
      </w:r>
    </w:p>
    <w:p w14:paraId="6BD6B597" w14:textId="4E3BEAFF" w:rsidR="00372041" w:rsidRPr="00372041" w:rsidRDefault="00372041" w:rsidP="00372041">
      <w:pPr>
        <w:pStyle w:val="Heading2"/>
      </w:pPr>
      <w:r>
        <w:t>2.2</w:t>
      </w:r>
      <w:r>
        <w:tab/>
        <w:t>CBRA</w:t>
      </w:r>
      <w:r w:rsidR="00FB1AD6">
        <w:t xml:space="preserve"> BFR</w:t>
      </w:r>
    </w:p>
    <w:p w14:paraId="39287CDC" w14:textId="09BEB8AC" w:rsidR="00A016A1" w:rsidRDefault="00244592" w:rsidP="00A016A1">
      <w:r w:rsidRPr="00244592">
        <w:t xml:space="preserve">Contention based Random Access (CBRA) is used currently for BFR as well as other RA procedures (e.g., SR when no dedicated SR resources are configured, SR failure, UL data arrival without UL time alignment, etc.) and network doesn’t know the cause for the RA procedure as it is not indicated by the UE. As the failure is not indicated to network explicitly by UE, network needs to determine the beam failure recovery request by UE implicitly. This may be </w:t>
      </w:r>
      <w:r w:rsidRPr="00244592">
        <w:lastRenderedPageBreak/>
        <w:t>problematic due to the current way the CBRA is performed</w:t>
      </w:r>
      <w:r w:rsidR="0004196E">
        <w:t xml:space="preserve"> as </w:t>
      </w:r>
      <w:r w:rsidR="00513FB8">
        <w:t>there is no difference between CBRA event for BFR compared to CBRA for other purposes</w:t>
      </w:r>
      <w:r w:rsidRPr="00244592">
        <w:t>.</w:t>
      </w:r>
      <w:r w:rsidR="00313C86">
        <w:t xml:space="preserve"> </w:t>
      </w:r>
      <w:r w:rsidR="00513FB8">
        <w:t xml:space="preserve">Based on the </w:t>
      </w:r>
      <w:hyperlink r:id="rId20" w:history="1">
        <w:r w:rsidR="00313C86" w:rsidRPr="005C0D44">
          <w:rPr>
            <w:rStyle w:val="Hyperlink"/>
          </w:rPr>
          <w:t>TS 38.213</w:t>
        </w:r>
      </w:hyperlink>
      <w:r w:rsidR="004823B8">
        <w:t xml:space="preserve"> subclause </w:t>
      </w:r>
      <w:r w:rsidR="009F6A73">
        <w:t>10.1</w:t>
      </w:r>
      <w:r w:rsidR="00513FB8">
        <w:t xml:space="preserve">, the UE will follow </w:t>
      </w:r>
      <w:r w:rsidR="00E2327E">
        <w:t xml:space="preserve">the beam indicated in the random access procedure </w:t>
      </w:r>
      <w:r w:rsidR="00703651">
        <w:t>for PDCCH reception unless MAC CE activation command for a TCI state has been received before that</w:t>
      </w:r>
      <w:r w:rsidR="00313C86">
        <w:t>:</w:t>
      </w:r>
    </w:p>
    <w:tbl>
      <w:tblPr>
        <w:tblStyle w:val="TableGrid"/>
        <w:tblW w:w="0" w:type="auto"/>
        <w:tblLook w:val="04A0" w:firstRow="1" w:lastRow="0" w:firstColumn="1" w:lastColumn="0" w:noHBand="0" w:noVBand="1"/>
      </w:tblPr>
      <w:tblGrid>
        <w:gridCol w:w="9631"/>
      </w:tblGrid>
      <w:tr w:rsidR="00513FB8" w14:paraId="413CAD14" w14:textId="77777777" w:rsidTr="00513FB8">
        <w:tc>
          <w:tcPr>
            <w:tcW w:w="9631" w:type="dxa"/>
            <w:shd w:val="clear" w:color="auto" w:fill="F2F2F2" w:themeFill="background1" w:themeFillShade="F2"/>
          </w:tcPr>
          <w:p w14:paraId="45D5A13E" w14:textId="77777777" w:rsidR="004823B8" w:rsidRPr="004823B8" w:rsidRDefault="004823B8" w:rsidP="004823B8">
            <w:pPr>
              <w:tabs>
                <w:tab w:val="left" w:pos="720"/>
              </w:tabs>
            </w:pPr>
            <w:r w:rsidRPr="004823B8">
              <w:t xml:space="preserve">For a CORESET other than a CORESET with index 0, </w:t>
            </w:r>
            <w:r w:rsidRPr="004823B8">
              <w:rPr>
                <w:highlight w:val="yellow"/>
              </w:rPr>
              <w:t xml:space="preserve">if a UE has not been provided with a configuration of TCI state(s) by </w:t>
            </w:r>
            <w:r w:rsidRPr="004823B8">
              <w:rPr>
                <w:i/>
                <w:highlight w:val="yellow"/>
              </w:rPr>
              <w:t>tci-StatesPDCCH-ToAddList</w:t>
            </w:r>
            <w:r w:rsidRPr="004823B8">
              <w:rPr>
                <w:highlight w:val="yellow"/>
              </w:rPr>
              <w:t xml:space="preserve"> and </w:t>
            </w:r>
            <w:r w:rsidRPr="004823B8">
              <w:rPr>
                <w:i/>
                <w:highlight w:val="yellow"/>
              </w:rPr>
              <w:t>tci-StatesPDCCH-ToReleaseList</w:t>
            </w:r>
            <w:r w:rsidRPr="004823B8">
              <w:rPr>
                <w:highlight w:val="yellow"/>
              </w:rPr>
              <w:t xml:space="preserve"> for the CORESET, or has received initial configuration of more than one TCI states for the CORESET by </w:t>
            </w:r>
            <w:r w:rsidRPr="004823B8">
              <w:rPr>
                <w:i/>
                <w:highlight w:val="yellow"/>
              </w:rPr>
              <w:t>tci-StatesPDCCH-ToAddList</w:t>
            </w:r>
            <w:r w:rsidRPr="004823B8">
              <w:rPr>
                <w:highlight w:val="yellow"/>
              </w:rPr>
              <w:t xml:space="preserve"> and </w:t>
            </w:r>
            <w:r w:rsidRPr="004823B8">
              <w:rPr>
                <w:i/>
                <w:highlight w:val="yellow"/>
              </w:rPr>
              <w:t>tci-StatesPDCCH-ToReleaseList</w:t>
            </w:r>
            <w:r w:rsidRPr="004823B8">
              <w:rPr>
                <w:highlight w:val="yellow"/>
              </w:rPr>
              <w:t xml:space="preserve"> </w:t>
            </w:r>
            <w:r w:rsidRPr="004823B8">
              <w:rPr>
                <w:rFonts w:eastAsia="Malgun Gothic"/>
                <w:highlight w:val="yellow"/>
              </w:rPr>
              <w:t>but has not received a MAC CE activation command for one of the TCI states as described in [11, TS 38.321</w:t>
            </w:r>
            <w:r w:rsidRPr="004823B8">
              <w:rPr>
                <w:rFonts w:eastAsia="Malgun Gothic"/>
              </w:rPr>
              <w:t>]</w:t>
            </w:r>
            <w:r w:rsidRPr="004823B8">
              <w:t xml:space="preserve">, the UE assumes that the DM-RS antenna port associated with PDCCH receptions is quasi co-located with the </w:t>
            </w:r>
            <w:r w:rsidRPr="004823B8">
              <w:rPr>
                <w:rFonts w:eastAsia="SimSun"/>
                <w:color w:val="000000"/>
                <w:kern w:val="2"/>
                <w:lang w:eastAsia="zh-CN"/>
              </w:rPr>
              <w:t>SS/PBCH block the UE identified during the initial access procedure</w:t>
            </w:r>
            <w:r w:rsidRPr="004823B8">
              <w:rPr>
                <w:rFonts w:eastAsia="SimSun"/>
                <w:kern w:val="2"/>
                <w:lang w:eastAsia="zh-CN"/>
              </w:rPr>
              <w:t>.</w:t>
            </w:r>
            <w:r w:rsidRPr="004823B8">
              <w:t xml:space="preserve"> </w:t>
            </w:r>
          </w:p>
          <w:p w14:paraId="4A873D04" w14:textId="4D2A3E88" w:rsidR="00513FB8" w:rsidRDefault="004823B8" w:rsidP="00EC5731">
            <w:pPr>
              <w:tabs>
                <w:tab w:val="left" w:pos="720"/>
              </w:tabs>
            </w:pPr>
            <w:r w:rsidRPr="004823B8">
              <w:t xml:space="preserve">For a CORESET with index 0, </w:t>
            </w:r>
            <w:r w:rsidRPr="004823B8">
              <w:rPr>
                <w:highlight w:val="yellow"/>
              </w:rPr>
              <w:t xml:space="preserve">if a UE has not received a MAC CE activation command </w:t>
            </w:r>
            <w:r w:rsidRPr="004823B8">
              <w:t>for a TCI state, as described in [11, TS 38.321], the UE assumes that a DM-RS antenna port for PDCCH receptions in the CORESET is quasi co-located with a SS/PBCH block the UE identified either during initial access or, if any, from a most recent random access procedure not initiated by a PDCCH order that triggers a non-contention based random access procedure.</w:t>
            </w:r>
          </w:p>
        </w:tc>
      </w:tr>
    </w:tbl>
    <w:p w14:paraId="31B8328B" w14:textId="77777777" w:rsidR="00313C86" w:rsidRDefault="00313C86" w:rsidP="00A016A1"/>
    <w:p w14:paraId="4268F3C6" w14:textId="29715BB8" w:rsidR="00244592" w:rsidRDefault="00703651" w:rsidP="00A016A1">
      <w:r>
        <w:t xml:space="preserve">However, this </w:t>
      </w:r>
      <w:r w:rsidR="00A72A55">
        <w:t xml:space="preserve">is the case only for the UEs accessing the cell from IDLE/INACTIVE modes and </w:t>
      </w:r>
      <w:r>
        <w:t>normally is not the case for CONNECTED mode UE that triggered CBRA, for instance, upon UL data arrival after TAT expiry.</w:t>
      </w:r>
      <w:r w:rsidR="00E7227D">
        <w:t xml:space="preserve"> In other words,</w:t>
      </w:r>
      <w:r w:rsidR="00BC6639">
        <w:t xml:space="preserve"> after </w:t>
      </w:r>
      <w:r w:rsidR="0014605D">
        <w:t xml:space="preserve">the Msg4 reception, CONNECTED mode UE will fallback </w:t>
      </w:r>
      <w:r w:rsidR="00333CC4">
        <w:t>using the configuration for PDCCH reception that was active before the RA procedure.</w:t>
      </w:r>
      <w:r w:rsidR="00290926">
        <w:t xml:space="preserve"> This works fine for </w:t>
      </w:r>
      <w:r w:rsidR="001F5534">
        <w:t>CBRA performed for any other reason than for BFR, however, for BFR the old configuration for PDCCH reception just failed</w:t>
      </w:r>
      <w:r w:rsidR="00AC19FB">
        <w:t xml:space="preserve"> and is not good to be continued to be used after Msg4</w:t>
      </w:r>
      <w:r w:rsidR="002B66F1">
        <w:t xml:space="preserve"> – this will only lead to another beam failure to be detected as the NW cannot reach the UE from the old </w:t>
      </w:r>
      <w:r w:rsidR="008D79CD">
        <w:t>beams</w:t>
      </w:r>
      <w:r w:rsidR="00AC19FB">
        <w:t>.</w:t>
      </w:r>
    </w:p>
    <w:p w14:paraId="7C55BE7F" w14:textId="2B53BDE4" w:rsidR="00AC19FB" w:rsidRDefault="00AC19FB" w:rsidP="00A016A1">
      <w:r>
        <w:rPr>
          <w:b/>
        </w:rPr>
        <w:t xml:space="preserve">Observation 2: </w:t>
      </w:r>
      <w:r>
        <w:t xml:space="preserve">After Msg4 reception, UE will fallback using the configuration for PDCCH reception that was active before the RA procedure which is </w:t>
      </w:r>
      <w:r w:rsidR="00FB1AD6">
        <w:t>problematic for BFR</w:t>
      </w:r>
      <w:r w:rsidR="008D79CD">
        <w:t xml:space="preserve"> and may lead to subsequent beam failure detections</w:t>
      </w:r>
      <w:r w:rsidR="00FB1AD6">
        <w:t>.</w:t>
      </w:r>
    </w:p>
    <w:p w14:paraId="28E0C358" w14:textId="360CA511" w:rsidR="00FB1AD6" w:rsidRDefault="000D1740" w:rsidP="00A016A1">
      <w:r>
        <w:t xml:space="preserve">Hence, Msg4 is the only message where the NW can in practice provide a MAC CE for new TCI state activation or </w:t>
      </w:r>
      <w:r w:rsidR="00D51853">
        <w:t>send a RRC reconfiguration with new TCI states configuration.</w:t>
      </w:r>
      <w:r w:rsidR="006D60E7">
        <w:t xml:space="preserve"> However, as the TCI state reconfiguration is only required for BFR, NW would benefit in knowing that the CBRA was performed due to the BFR.</w:t>
      </w:r>
    </w:p>
    <w:p w14:paraId="1E254436" w14:textId="4AD90378" w:rsidR="006D60E7" w:rsidRDefault="006D60E7" w:rsidP="00A016A1">
      <w:r>
        <w:rPr>
          <w:b/>
        </w:rPr>
        <w:t xml:space="preserve">Observation 3: </w:t>
      </w:r>
      <w:r>
        <w:t>Network would benefit in knowing that the CBRA was due to BFR to be able to provide new TCI state configuration/activation in Msg4 for the UE.</w:t>
      </w:r>
    </w:p>
    <w:p w14:paraId="0266F4AE" w14:textId="0721A65D" w:rsidR="006D60E7" w:rsidRDefault="00657476" w:rsidP="00A016A1">
      <w:r>
        <w:t>However, it has been agreed by both RAN1 and RAN2 previously that no</w:t>
      </w:r>
      <w:r w:rsidR="00A81F6C">
        <w:t xml:space="preserve"> explicit</w:t>
      </w:r>
      <w:r>
        <w:t xml:space="preserve"> indication will be introduced </w:t>
      </w:r>
      <w:r w:rsidR="00DB7786">
        <w:t xml:space="preserve">in Rel-15 </w:t>
      </w:r>
      <w:r>
        <w:t xml:space="preserve">by the UE to NW to </w:t>
      </w:r>
      <w:r w:rsidR="002D03D4">
        <w:t>tell the reason for the CBRA is BFR, e.g., by a MAC CE in Msg3.</w:t>
      </w:r>
      <w:r w:rsidR="00DB7786">
        <w:t xml:space="preserve"> </w:t>
      </w:r>
      <w:r w:rsidR="007A566C">
        <w:t>On the other hand, introducing it now would lead to a non-backwards compatible change which is not acceptable.</w:t>
      </w:r>
    </w:p>
    <w:p w14:paraId="567EF740" w14:textId="7273DC4E" w:rsidR="007A566C" w:rsidRDefault="00552864" w:rsidP="00A016A1">
      <w:r>
        <w:rPr>
          <w:b/>
        </w:rPr>
        <w:t xml:space="preserve">Observation 4: </w:t>
      </w:r>
      <w:r w:rsidR="006C143D">
        <w:t xml:space="preserve">No indication by the UE to NW to tell the reason for CBRA is BFR was agreed for Rel-15 and </w:t>
      </w:r>
      <w:r w:rsidR="00E233E0">
        <w:t>introducing it now would lead to a NBC change which is not acceptable.</w:t>
      </w:r>
    </w:p>
    <w:p w14:paraId="61D79BA3" w14:textId="79098049" w:rsidR="00E233E0" w:rsidRDefault="00E233E0" w:rsidP="00A016A1">
      <w:r>
        <w:t xml:space="preserve">Instead, it seems possible for the UE to select in the RA procedure the SSB </w:t>
      </w:r>
      <w:r w:rsidR="00093A7E">
        <w:t xml:space="preserve">in which it performs the CBRA based on the information about the trigger condition and the </w:t>
      </w:r>
      <w:r w:rsidR="00ED79BE">
        <w:t>current configuration for PDCCH reception. Ie.,:</w:t>
      </w:r>
    </w:p>
    <w:p w14:paraId="7C8B7032" w14:textId="63C6C042" w:rsidR="00ED79BE" w:rsidRDefault="00ED79BE" w:rsidP="00407ED9">
      <w:pPr>
        <w:ind w:left="568" w:hanging="288"/>
      </w:pPr>
      <w:r>
        <w:t>-</w:t>
      </w:r>
      <w:r>
        <w:tab/>
        <w:t xml:space="preserve">For CBRA performed for other reasons than BFR, UE prioritizes SSBs </w:t>
      </w:r>
      <w:r w:rsidR="0049234B">
        <w:t>corresponding to beams configured for PDCCH reception</w:t>
      </w:r>
      <w:r w:rsidR="00105124">
        <w:t xml:space="preserve"> to indicate to the NW that no new TCI configuration is required;</w:t>
      </w:r>
    </w:p>
    <w:p w14:paraId="5ACAA17B" w14:textId="5A6D6D28" w:rsidR="00105124" w:rsidRDefault="00105124" w:rsidP="00407ED9">
      <w:pPr>
        <w:ind w:left="568" w:hanging="288"/>
      </w:pPr>
      <w:r>
        <w:t>-</w:t>
      </w:r>
      <w:r>
        <w:tab/>
        <w:t>For CBRA performed for BFR, UE prioritizes SSBs that do not correspond to beams configured for PDCCH reception to indicate to the NW that new TCI configuration would be needed due to BFR.</w:t>
      </w:r>
    </w:p>
    <w:p w14:paraId="1C3A4DF3" w14:textId="3BBED63A" w:rsidR="003A49F5" w:rsidRDefault="0053560C" w:rsidP="0053560C">
      <w:r>
        <w:t>This could serve as a simple indication to the NW implicitly by the UE selected SSB in the RA procedure</w:t>
      </w:r>
      <w:r w:rsidR="0075566A">
        <w:t>.</w:t>
      </w:r>
      <w:r w:rsidR="00C06A14">
        <w:t xml:space="preserve"> Of course, such selection is not always possible, hence, the prioritization.</w:t>
      </w:r>
      <w:bookmarkStart w:id="2" w:name="_GoBack"/>
      <w:bookmarkEnd w:id="2"/>
    </w:p>
    <w:p w14:paraId="30D1F2BF" w14:textId="77777777" w:rsidR="00883DD1" w:rsidRDefault="003A49F5" w:rsidP="0053560C">
      <w:r>
        <w:rPr>
          <w:b/>
        </w:rPr>
        <w:t>Proposal:</w:t>
      </w:r>
      <w:r>
        <w:t xml:space="preserve"> Introduce a prioritization rule for SSB selection in CBRA depending on the </w:t>
      </w:r>
      <w:r w:rsidR="00883DD1">
        <w:t>trigger condition for the CBRA ie.,:</w:t>
      </w:r>
    </w:p>
    <w:p w14:paraId="3C3C4403" w14:textId="77777777" w:rsidR="00883DD1" w:rsidRDefault="007F53D6" w:rsidP="00883DD1">
      <w:pPr>
        <w:ind w:left="568" w:hanging="288"/>
      </w:pPr>
      <w:r>
        <w:t xml:space="preserve"> </w:t>
      </w:r>
      <w:r w:rsidR="00883DD1">
        <w:t>-</w:t>
      </w:r>
      <w:r w:rsidR="00883DD1">
        <w:tab/>
        <w:t>For CBRA performed for other reasons than BFR, UE prioritizes SSBs corresponding to beams configured for PDCCH reception to indicate to the NW that no new TCI configuration is required;</w:t>
      </w:r>
    </w:p>
    <w:p w14:paraId="6F09EFB1" w14:textId="77777777" w:rsidR="00883DD1" w:rsidRDefault="00883DD1" w:rsidP="00883DD1">
      <w:pPr>
        <w:ind w:left="568" w:hanging="288"/>
      </w:pPr>
      <w:r>
        <w:t>-</w:t>
      </w:r>
      <w:r>
        <w:tab/>
        <w:t>For CBRA performed for BFR, UE prioritizes SSBs that do not correspond to beams configured for PDCCH reception to indicate to the NW that new TCI configuration would be needed due to BFR.</w:t>
      </w:r>
    </w:p>
    <w:p w14:paraId="43A12B72" w14:textId="386C41D5" w:rsidR="00CD4C7B" w:rsidRPr="006E13D1" w:rsidRDefault="00883DD1" w:rsidP="00CD4C7B">
      <w:pPr>
        <w:pStyle w:val="Heading1"/>
      </w:pPr>
      <w:r>
        <w:lastRenderedPageBreak/>
        <w:t>3</w:t>
      </w:r>
      <w:r w:rsidR="00CD4C7B" w:rsidRPr="006E13D1">
        <w:tab/>
      </w:r>
      <w:r>
        <w:t>Conclusions</w:t>
      </w:r>
    </w:p>
    <w:p w14:paraId="190C81D1" w14:textId="3F69B724" w:rsidR="00CD4C7B" w:rsidRDefault="00F62F5F" w:rsidP="00CD4C7B">
      <w:r>
        <w:t xml:space="preserve">In this contribution we discussed an issue with NW not being able to identify if the </w:t>
      </w:r>
      <w:r w:rsidR="007F3838">
        <w:t>CBRA performed by the UE is for BFR. The following was proposed:</w:t>
      </w:r>
    </w:p>
    <w:p w14:paraId="03EF8BC1" w14:textId="77777777" w:rsidR="007F3838" w:rsidRDefault="007F3838" w:rsidP="007F3838">
      <w:r>
        <w:rPr>
          <w:b/>
        </w:rPr>
        <w:t>Proposal:</w:t>
      </w:r>
      <w:r>
        <w:t xml:space="preserve"> Introduce a prioritization rule for SSB selection in CBRA depending on the trigger condition for the CBRA ie.,:</w:t>
      </w:r>
    </w:p>
    <w:p w14:paraId="17D12CFA" w14:textId="77777777" w:rsidR="007F3838" w:rsidRDefault="007F3838" w:rsidP="007F3838">
      <w:pPr>
        <w:ind w:left="568" w:hanging="288"/>
      </w:pPr>
      <w:r>
        <w:t xml:space="preserve"> -</w:t>
      </w:r>
      <w:r>
        <w:tab/>
        <w:t>For CBRA performed for other reasons than BFR, UE prioritizes SSBs corresponding to beams configured for PDCCH reception to indicate to the NW that no new TCI configuration is required;</w:t>
      </w:r>
    </w:p>
    <w:p w14:paraId="4EB73FB2" w14:textId="77777777" w:rsidR="007F3838" w:rsidRDefault="007F3838" w:rsidP="007F3838">
      <w:pPr>
        <w:ind w:left="568" w:hanging="288"/>
      </w:pPr>
      <w:r>
        <w:t>-</w:t>
      </w:r>
      <w:r>
        <w:tab/>
        <w:t>For CBRA performed for BFR, UE prioritizes SSBs that do not correspond to beams configured for PDCCH reception to indicate to the NW that new TCI configuration would be needed due to BFR.</w:t>
      </w:r>
    </w:p>
    <w:p w14:paraId="55A3B1F9" w14:textId="1CC70BE0" w:rsidR="007F3838" w:rsidRDefault="007F3838" w:rsidP="00CD4C7B">
      <w:r>
        <w:t>The related CR is provided in [1].</w:t>
      </w:r>
    </w:p>
    <w:p w14:paraId="353A9B45" w14:textId="538825F4" w:rsidR="007F3838" w:rsidRDefault="007F3838" w:rsidP="007F3838">
      <w:pPr>
        <w:pStyle w:val="Heading1"/>
      </w:pPr>
      <w:r>
        <w:t>References</w:t>
      </w:r>
    </w:p>
    <w:p w14:paraId="60AE1017" w14:textId="78982D04" w:rsidR="007A104A" w:rsidRPr="00383768" w:rsidRDefault="007A104A" w:rsidP="007A104A">
      <w:pPr>
        <w:numPr>
          <w:ilvl w:val="0"/>
          <w:numId w:val="4"/>
        </w:numPr>
      </w:pPr>
      <w:bookmarkStart w:id="3" w:name="_Ref521434452"/>
      <w:r>
        <w:t>R2-19</w:t>
      </w:r>
      <w:r w:rsidR="00B85529">
        <w:t>01256</w:t>
      </w:r>
      <w:r>
        <w:t xml:space="preserve">, </w:t>
      </w:r>
      <w:r>
        <w:rPr>
          <w:i/>
        </w:rPr>
        <w:t xml:space="preserve">Correction to </w:t>
      </w:r>
      <w:r w:rsidR="00B85529">
        <w:rPr>
          <w:i/>
        </w:rPr>
        <w:t>SSB selection with CBRA</w:t>
      </w:r>
      <w:r>
        <w:t>, Nokia, Nokia Shanghai Bell</w:t>
      </w:r>
    </w:p>
    <w:bookmarkEnd w:id="3"/>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40833" w14:textId="77777777" w:rsidR="00962509" w:rsidRDefault="00962509">
      <w:r>
        <w:separator/>
      </w:r>
    </w:p>
  </w:endnote>
  <w:endnote w:type="continuationSeparator" w:id="0">
    <w:p w14:paraId="235087EE" w14:textId="77777777" w:rsidR="00962509" w:rsidRDefault="0096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73EAD" w14:textId="77777777" w:rsidR="00962509" w:rsidRDefault="00962509">
      <w:r>
        <w:separator/>
      </w:r>
    </w:p>
  </w:footnote>
  <w:footnote w:type="continuationSeparator" w:id="0">
    <w:p w14:paraId="1DF51829" w14:textId="77777777" w:rsidR="00962509" w:rsidRDefault="00962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714"/>
    <w:rsid w:val="00033397"/>
    <w:rsid w:val="00040095"/>
    <w:rsid w:val="0004196E"/>
    <w:rsid w:val="00080512"/>
    <w:rsid w:val="00090468"/>
    <w:rsid w:val="00093A7E"/>
    <w:rsid w:val="000B7BCF"/>
    <w:rsid w:val="000C522B"/>
    <w:rsid w:val="000D1740"/>
    <w:rsid w:val="000D58AB"/>
    <w:rsid w:val="000F00E3"/>
    <w:rsid w:val="00105124"/>
    <w:rsid w:val="00112F1A"/>
    <w:rsid w:val="00145075"/>
    <w:rsid w:val="0014605D"/>
    <w:rsid w:val="00152267"/>
    <w:rsid w:val="001741A0"/>
    <w:rsid w:val="00175FA0"/>
    <w:rsid w:val="00194CD0"/>
    <w:rsid w:val="001B49C9"/>
    <w:rsid w:val="001C4F79"/>
    <w:rsid w:val="001F168B"/>
    <w:rsid w:val="001F5534"/>
    <w:rsid w:val="001F7831"/>
    <w:rsid w:val="00204045"/>
    <w:rsid w:val="0020712B"/>
    <w:rsid w:val="0022606D"/>
    <w:rsid w:val="00231728"/>
    <w:rsid w:val="00244592"/>
    <w:rsid w:val="002610D8"/>
    <w:rsid w:val="002747EC"/>
    <w:rsid w:val="002855BF"/>
    <w:rsid w:val="00290926"/>
    <w:rsid w:val="002B66F1"/>
    <w:rsid w:val="002D03D4"/>
    <w:rsid w:val="002F0D22"/>
    <w:rsid w:val="00313C86"/>
    <w:rsid w:val="003172DC"/>
    <w:rsid w:val="00325AE3"/>
    <w:rsid w:val="00326069"/>
    <w:rsid w:val="00333CC4"/>
    <w:rsid w:val="0035462D"/>
    <w:rsid w:val="00364B41"/>
    <w:rsid w:val="00372041"/>
    <w:rsid w:val="003A249E"/>
    <w:rsid w:val="003A41EF"/>
    <w:rsid w:val="003A49F5"/>
    <w:rsid w:val="003B40AD"/>
    <w:rsid w:val="003C4E37"/>
    <w:rsid w:val="003E16BE"/>
    <w:rsid w:val="003F4E28"/>
    <w:rsid w:val="004006E8"/>
    <w:rsid w:val="00401855"/>
    <w:rsid w:val="00407ED9"/>
    <w:rsid w:val="00465587"/>
    <w:rsid w:val="00477455"/>
    <w:rsid w:val="004823B8"/>
    <w:rsid w:val="0049234B"/>
    <w:rsid w:val="004A1F7B"/>
    <w:rsid w:val="004C44D2"/>
    <w:rsid w:val="004D3578"/>
    <w:rsid w:val="004D380D"/>
    <w:rsid w:val="004E213A"/>
    <w:rsid w:val="004F3D8D"/>
    <w:rsid w:val="00503171"/>
    <w:rsid w:val="00506C28"/>
    <w:rsid w:val="00513FB8"/>
    <w:rsid w:val="00534DA0"/>
    <w:rsid w:val="0053560C"/>
    <w:rsid w:val="00543E6C"/>
    <w:rsid w:val="00552864"/>
    <w:rsid w:val="00565087"/>
    <w:rsid w:val="0056573F"/>
    <w:rsid w:val="005C0D44"/>
    <w:rsid w:val="00611566"/>
    <w:rsid w:val="00646D99"/>
    <w:rsid w:val="00656910"/>
    <w:rsid w:val="00657476"/>
    <w:rsid w:val="006A7A82"/>
    <w:rsid w:val="006C143D"/>
    <w:rsid w:val="006C66D8"/>
    <w:rsid w:val="006D1E24"/>
    <w:rsid w:val="006D60E7"/>
    <w:rsid w:val="006E1417"/>
    <w:rsid w:val="006F6A2C"/>
    <w:rsid w:val="00703651"/>
    <w:rsid w:val="00710201"/>
    <w:rsid w:val="007239E1"/>
    <w:rsid w:val="007342B5"/>
    <w:rsid w:val="00734A5B"/>
    <w:rsid w:val="00744E76"/>
    <w:rsid w:val="00750A34"/>
    <w:rsid w:val="0075566A"/>
    <w:rsid w:val="00757D40"/>
    <w:rsid w:val="00781F0F"/>
    <w:rsid w:val="0078727C"/>
    <w:rsid w:val="0079049D"/>
    <w:rsid w:val="00793DC5"/>
    <w:rsid w:val="007A104A"/>
    <w:rsid w:val="007A566C"/>
    <w:rsid w:val="007B18D8"/>
    <w:rsid w:val="007C095F"/>
    <w:rsid w:val="007C2DD0"/>
    <w:rsid w:val="007F3838"/>
    <w:rsid w:val="007F53D6"/>
    <w:rsid w:val="008028A4"/>
    <w:rsid w:val="00813245"/>
    <w:rsid w:val="00860CAE"/>
    <w:rsid w:val="008768CA"/>
    <w:rsid w:val="00877EF9"/>
    <w:rsid w:val="00880559"/>
    <w:rsid w:val="00883DD1"/>
    <w:rsid w:val="008A6604"/>
    <w:rsid w:val="008B5306"/>
    <w:rsid w:val="008D2E4D"/>
    <w:rsid w:val="008D79C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9F6A73"/>
    <w:rsid w:val="00A016A1"/>
    <w:rsid w:val="00A10F02"/>
    <w:rsid w:val="00A204CA"/>
    <w:rsid w:val="00A21105"/>
    <w:rsid w:val="00A53724"/>
    <w:rsid w:val="00A6603F"/>
    <w:rsid w:val="00A72A55"/>
    <w:rsid w:val="00A81F6C"/>
    <w:rsid w:val="00A82346"/>
    <w:rsid w:val="00A9671C"/>
    <w:rsid w:val="00AA1553"/>
    <w:rsid w:val="00AC19FB"/>
    <w:rsid w:val="00B05380"/>
    <w:rsid w:val="00B05962"/>
    <w:rsid w:val="00B15449"/>
    <w:rsid w:val="00B27303"/>
    <w:rsid w:val="00B47FD1"/>
    <w:rsid w:val="00B516BB"/>
    <w:rsid w:val="00B84DB2"/>
    <w:rsid w:val="00B85529"/>
    <w:rsid w:val="00BC3555"/>
    <w:rsid w:val="00BC6639"/>
    <w:rsid w:val="00C06A14"/>
    <w:rsid w:val="00C12B51"/>
    <w:rsid w:val="00C24650"/>
    <w:rsid w:val="00C25465"/>
    <w:rsid w:val="00C33079"/>
    <w:rsid w:val="00C83A13"/>
    <w:rsid w:val="00C9068C"/>
    <w:rsid w:val="00C92967"/>
    <w:rsid w:val="00CA3D0C"/>
    <w:rsid w:val="00CA654B"/>
    <w:rsid w:val="00CB36BD"/>
    <w:rsid w:val="00CB72B8"/>
    <w:rsid w:val="00CD4C7B"/>
    <w:rsid w:val="00D33BE3"/>
    <w:rsid w:val="00D3792D"/>
    <w:rsid w:val="00D51853"/>
    <w:rsid w:val="00D55E47"/>
    <w:rsid w:val="00D62E19"/>
    <w:rsid w:val="00D67CD1"/>
    <w:rsid w:val="00D738D6"/>
    <w:rsid w:val="00D80795"/>
    <w:rsid w:val="00D854BE"/>
    <w:rsid w:val="00D87E00"/>
    <w:rsid w:val="00D9134D"/>
    <w:rsid w:val="00D96D11"/>
    <w:rsid w:val="00DA7A03"/>
    <w:rsid w:val="00DB0DB8"/>
    <w:rsid w:val="00DB1818"/>
    <w:rsid w:val="00DB7786"/>
    <w:rsid w:val="00DC309B"/>
    <w:rsid w:val="00DC4DA2"/>
    <w:rsid w:val="00E2327E"/>
    <w:rsid w:val="00E233E0"/>
    <w:rsid w:val="00E46C08"/>
    <w:rsid w:val="00E471CF"/>
    <w:rsid w:val="00E62835"/>
    <w:rsid w:val="00E7227D"/>
    <w:rsid w:val="00E77645"/>
    <w:rsid w:val="00E83697"/>
    <w:rsid w:val="00EC4A25"/>
    <w:rsid w:val="00EC5731"/>
    <w:rsid w:val="00ED79BE"/>
    <w:rsid w:val="00F025A2"/>
    <w:rsid w:val="00F03987"/>
    <w:rsid w:val="00F07388"/>
    <w:rsid w:val="00F2026E"/>
    <w:rsid w:val="00F2210A"/>
    <w:rsid w:val="00F37743"/>
    <w:rsid w:val="00F54A3D"/>
    <w:rsid w:val="00F54CB0"/>
    <w:rsid w:val="00F62F5F"/>
    <w:rsid w:val="00F653B8"/>
    <w:rsid w:val="00F71B89"/>
    <w:rsid w:val="00F7353C"/>
    <w:rsid w:val="00F76F8F"/>
    <w:rsid w:val="00F941DF"/>
    <w:rsid w:val="00FA1266"/>
    <w:rsid w:val="00FB1AD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0147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D79BE"/>
    <w:pPr>
      <w:ind w:left="720"/>
      <w:contextualSpacing/>
    </w:pPr>
  </w:style>
  <w:style w:type="character" w:styleId="CommentReference">
    <w:name w:val="annotation reference"/>
    <w:basedOn w:val="DefaultParagraphFont"/>
    <w:rsid w:val="005C0D44"/>
    <w:rPr>
      <w:sz w:val="16"/>
      <w:szCs w:val="16"/>
    </w:rPr>
  </w:style>
  <w:style w:type="paragraph" w:styleId="CommentText">
    <w:name w:val="annotation text"/>
    <w:basedOn w:val="Normal"/>
    <w:link w:val="CommentTextChar"/>
    <w:rsid w:val="005C0D44"/>
  </w:style>
  <w:style w:type="character" w:customStyle="1" w:styleId="CommentTextChar">
    <w:name w:val="Comment Text Char"/>
    <w:basedOn w:val="DefaultParagraphFont"/>
    <w:link w:val="CommentText"/>
    <w:rsid w:val="005C0D44"/>
    <w:rPr>
      <w:lang w:eastAsia="en-US"/>
    </w:rPr>
  </w:style>
  <w:style w:type="paragraph" w:styleId="CommentSubject">
    <w:name w:val="annotation subject"/>
    <w:basedOn w:val="CommentText"/>
    <w:next w:val="CommentText"/>
    <w:link w:val="CommentSubjectChar"/>
    <w:rsid w:val="005C0D44"/>
    <w:rPr>
      <w:b/>
      <w:bCs/>
    </w:rPr>
  </w:style>
  <w:style w:type="character" w:customStyle="1" w:styleId="CommentSubjectChar">
    <w:name w:val="Comment Subject Char"/>
    <w:basedOn w:val="CommentTextChar"/>
    <w:link w:val="CommentSubject"/>
    <w:rsid w:val="005C0D44"/>
    <w:rPr>
      <w:b/>
      <w:bCs/>
      <w:lang w:eastAsia="en-US"/>
    </w:rPr>
  </w:style>
  <w:style w:type="character" w:styleId="UnresolvedMention">
    <w:name w:val="Unresolved Mention"/>
    <w:basedOn w:val="DefaultParagraphFont"/>
    <w:rsid w:val="005C0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ftp/Specs/archive/38_series/38.213/38213-f40.zip" TargetMode="Externa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www.3gpp.org/ftp/Specs/archive/38_series/38.213/38213-f4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83f22d2f-d16e-4be6-ad4f-29fa0b067c3c"/>
    <ds:schemaRef ds:uri="http://schemas.microsoft.com/office/infopath/2007/PartnerControls"/>
    <ds:schemaRef ds:uri="71c5aaf6-e6ce-465b-b873-5148d2a4c105"/>
    <ds:schemaRef ds:uri="a3840f4f-04be-43d1-b2ef-6ff1382503c7"/>
    <ds:schemaRef ds:uri="http://schemas.microsoft.com/office/2006/documentManagement/types"/>
    <ds:schemaRef ds:uri="http://purl.org/dc/terms/"/>
    <ds:schemaRef ds:uri="3b34c8f0-1ef5-4d1e-bb66-517ce7fe7356"/>
    <ds:schemaRef ds:uri="http://purl.org/dc/dcmitype/"/>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81</TotalTime>
  <Pages>3</Pages>
  <Words>1350</Words>
  <Characters>7015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59</cp:revision>
  <dcterms:created xsi:type="dcterms:W3CDTF">2019-02-13T12:38:00Z</dcterms:created>
  <dcterms:modified xsi:type="dcterms:W3CDTF">2019-02-14T14:33:00Z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